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KBP-2026-0166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Neubau Rathaus / hier: Technisches Monitoring nach AMEV (Arbeitskreis Maschinen- und Elektrotechnik staatlicher und kommunaler Verwaltungen) 2025</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hier geforderte Leistung beinhaltet das Technische Monitoring und das Inbetriebnahmemonitoring (im Folgenden TMon und IBMon abgekürzt) gem. AMEV, Stand 30.04.2025, Empfehlung Nr. 178.
Der Auftragnehmer schuldet die vollständige Leistung des TMon und des IBMon gemäß dieser Empfehlung.</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